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CB" w:rsidRPr="002741B3" w:rsidRDefault="003457CB" w:rsidP="003457CB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57CB" w:rsidRPr="003868A3" w:rsidRDefault="0090141E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15.10.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457CB"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 w:rsidR="003457CB">
        <w:rPr>
          <w:rFonts w:ascii="Times New Roman" w:hAnsi="Times New Roman"/>
          <w:b w:val="0"/>
          <w:sz w:val="26"/>
          <w:szCs w:val="26"/>
        </w:rPr>
        <w:t xml:space="preserve">.                      </w:t>
      </w:r>
      <w:r w:rsidR="00E30D79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3457CB"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№</w:t>
      </w:r>
      <w:r>
        <w:rPr>
          <w:rFonts w:ascii="Times New Roman" w:hAnsi="Times New Roman"/>
          <w:b w:val="0"/>
          <w:sz w:val="26"/>
          <w:szCs w:val="26"/>
        </w:rPr>
        <w:t xml:space="preserve"> 13</w:t>
      </w:r>
    </w:p>
    <w:p w:rsidR="003457CB" w:rsidRDefault="003457CB" w:rsidP="00545858">
      <w:pPr>
        <w:jc w:val="center"/>
        <w:rPr>
          <w:snapToGrid/>
          <w:szCs w:val="26"/>
        </w:rPr>
      </w:pPr>
    </w:p>
    <w:p w:rsidR="003457CB" w:rsidRDefault="003457CB" w:rsidP="00545858">
      <w:pPr>
        <w:jc w:val="center"/>
        <w:rPr>
          <w:snapToGrid/>
          <w:szCs w:val="26"/>
        </w:rPr>
      </w:pPr>
    </w:p>
    <w:p w:rsidR="00545858" w:rsidRPr="00973078" w:rsidRDefault="003457CB" w:rsidP="003457CB">
      <w:pPr>
        <w:rPr>
          <w:snapToGrid/>
          <w:szCs w:val="26"/>
        </w:rPr>
      </w:pPr>
      <w:r>
        <w:rPr>
          <w:snapToGrid/>
          <w:szCs w:val="26"/>
        </w:rPr>
        <w:t>Об установлении налога на имущество физических лиц</w:t>
      </w: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3457CB">
      <w:pPr>
        <w:ind w:firstLine="709"/>
        <w:jc w:val="both"/>
        <w:rPr>
          <w:szCs w:val="26"/>
        </w:rPr>
      </w:pPr>
      <w:r w:rsidRPr="00973078">
        <w:rPr>
          <w:szCs w:val="26"/>
        </w:rPr>
        <w:t xml:space="preserve">В соответствии с Федеральными </w:t>
      </w:r>
      <w:hyperlink r:id="rId7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от 04 октября 2014 г. № 284-ФЗ «</w:t>
      </w:r>
      <w:r w:rsidRPr="00973078">
        <w:rPr>
          <w:rFonts w:eastAsia="Calibri"/>
          <w:szCs w:val="26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r w:rsidR="00EB4B43">
        <w:rPr>
          <w:rFonts w:eastAsia="Calibri"/>
          <w:szCs w:val="26"/>
        </w:rPr>
        <w:t xml:space="preserve"> </w:t>
      </w:r>
      <w:r w:rsidRPr="00973078">
        <w:rPr>
          <w:rFonts w:eastAsia="Calibri"/>
          <w:szCs w:val="26"/>
        </w:rPr>
        <w:t xml:space="preserve">второй Налогового кодекса Российской Федерации, </w:t>
      </w:r>
      <w:r w:rsidR="002B394B" w:rsidRPr="00973078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73078">
        <w:rPr>
          <w:szCs w:val="26"/>
        </w:rPr>
        <w:t xml:space="preserve">руководствуясь </w:t>
      </w:r>
      <w:r w:rsidR="003457CB">
        <w:rPr>
          <w:szCs w:val="26"/>
        </w:rPr>
        <w:t>Уставом</w:t>
      </w:r>
      <w:r w:rsidR="003457CB" w:rsidRPr="000B3CBC">
        <w:rPr>
          <w:szCs w:val="26"/>
        </w:rPr>
        <w:t xml:space="preserve">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626A1A" w:rsidRDefault="00545858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1. Установить и ввести в действие с 1 января 201</w:t>
      </w:r>
      <w:r w:rsidR="002B394B" w:rsidRPr="00973078">
        <w:rPr>
          <w:snapToGrid/>
          <w:szCs w:val="26"/>
        </w:rPr>
        <w:t>6</w:t>
      </w:r>
      <w:r w:rsidRPr="00973078">
        <w:rPr>
          <w:snapToGrid/>
          <w:szCs w:val="26"/>
        </w:rPr>
        <w:t xml:space="preserve"> года на террит</w:t>
      </w:r>
      <w:r w:rsidR="003457CB">
        <w:rPr>
          <w:snapToGrid/>
          <w:szCs w:val="26"/>
        </w:rPr>
        <w:t xml:space="preserve">ории Аршановского сельсовета </w:t>
      </w:r>
      <w:r w:rsidRPr="00973078">
        <w:rPr>
          <w:snapToGrid/>
          <w:szCs w:val="26"/>
        </w:rPr>
        <w:t>налог на имущество физических лиц (далее – налог).</w:t>
      </w:r>
    </w:p>
    <w:p w:rsidR="00F804B1" w:rsidRPr="003457CB" w:rsidRDefault="00545858" w:rsidP="003457C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rFonts w:eastAsia="Calibri"/>
          <w:snapToGrid/>
          <w:szCs w:val="26"/>
          <w:lang w:eastAsia="en-US"/>
        </w:rPr>
        <w:t xml:space="preserve">3. </w:t>
      </w:r>
      <w:r w:rsidRPr="00973078">
        <w:rPr>
          <w:snapToGrid/>
          <w:szCs w:val="26"/>
        </w:rPr>
        <w:t>Установить следующие налоговые вычеты при определении налоговой базы: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napToGrid/>
          <w:szCs w:val="26"/>
        </w:rPr>
        <w:t>3.1. н</w:t>
      </w:r>
      <w:r w:rsidRPr="00973078">
        <w:rPr>
          <w:rFonts w:eastAsia="Calibri"/>
          <w:snapToGrid/>
          <w:szCs w:val="26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</w:t>
      </w:r>
      <w:r w:rsidR="003457CB">
        <w:rPr>
          <w:rFonts w:eastAsia="Calibri"/>
          <w:snapToGrid/>
          <w:szCs w:val="26"/>
          <w:lang w:eastAsia="en-US"/>
        </w:rPr>
        <w:t xml:space="preserve">20 </w:t>
      </w:r>
      <w:r w:rsidRPr="00973078">
        <w:rPr>
          <w:rFonts w:eastAsia="Calibri"/>
          <w:snapToGrid/>
          <w:szCs w:val="26"/>
          <w:lang w:eastAsia="en-US"/>
        </w:rPr>
        <w:t xml:space="preserve">квадратных метров общей площади этой квартиры;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3.2. налоговая база в отношении комнаты определяется как ее кадастровая стоимость, уменьшенная на величину кадастровой стоимости</w:t>
      </w:r>
      <w:r w:rsidR="009267A3">
        <w:rPr>
          <w:rFonts w:eastAsia="Calibri"/>
          <w:snapToGrid/>
          <w:szCs w:val="26"/>
          <w:lang w:eastAsia="en-US"/>
        </w:rPr>
        <w:t xml:space="preserve"> </w:t>
      </w:r>
      <w:r w:rsidR="003457CB">
        <w:rPr>
          <w:rFonts w:eastAsia="Calibri"/>
          <w:snapToGrid/>
          <w:szCs w:val="26"/>
          <w:lang w:eastAsia="en-US"/>
        </w:rPr>
        <w:t>10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площади этой комнаты;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3.3. налоговая база в отношении жилого дома определяется как его кадастровая стоимость, уменьшенная на величину кадастровой стоимости </w:t>
      </w:r>
      <w:r w:rsidR="003457CB">
        <w:rPr>
          <w:rFonts w:eastAsia="Calibri"/>
          <w:snapToGrid/>
          <w:szCs w:val="26"/>
          <w:lang w:eastAsia="en-US"/>
        </w:rPr>
        <w:t>50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общей площади этого жилого дома; </w:t>
      </w:r>
    </w:p>
    <w:p w:rsidR="00F804B1" w:rsidRPr="001536FF" w:rsidRDefault="00545858" w:rsidP="001536F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lastRenderedPageBreak/>
        <w:t>3.4.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</w:t>
      </w:r>
      <w:r w:rsidR="003457CB">
        <w:rPr>
          <w:rFonts w:eastAsia="Calibri"/>
          <w:snapToGrid/>
          <w:szCs w:val="26"/>
          <w:lang w:eastAsia="en-US"/>
        </w:rPr>
        <w:t xml:space="preserve"> один миллион</w:t>
      </w:r>
      <w:r w:rsidR="00854AA2" w:rsidRPr="00973078">
        <w:rPr>
          <w:rFonts w:eastAsia="Calibri"/>
          <w:snapToGrid/>
          <w:szCs w:val="26"/>
          <w:lang w:eastAsia="en-US"/>
        </w:rPr>
        <w:t xml:space="preserve"> </w:t>
      </w:r>
      <w:r w:rsidRPr="00973078">
        <w:rPr>
          <w:rFonts w:eastAsia="Calibri"/>
          <w:snapToGrid/>
          <w:szCs w:val="26"/>
          <w:lang w:eastAsia="en-US"/>
        </w:rPr>
        <w:t>рублей.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4. Установить следующие налоговые ставки по налогу: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4.1. </w:t>
      </w:r>
      <w:r w:rsidR="003940AB" w:rsidRPr="00973078">
        <w:rPr>
          <w:rFonts w:eastAsia="Calibri"/>
          <w:snapToGrid/>
          <w:szCs w:val="26"/>
          <w:lang w:eastAsia="en-US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процента в отношении жилых домов;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4.2.</w:t>
      </w:r>
      <w:r w:rsidR="00973078" w:rsidRP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>процента в отношении жилых помещений;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4.3.</w:t>
      </w:r>
      <w:r w:rsidR="00973078">
        <w:rPr>
          <w:szCs w:val="26"/>
        </w:rPr>
        <w:t xml:space="preserve"> 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4.4.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4.5.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гаражей и машино-мест;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4.6. </w:t>
      </w:r>
      <w:r w:rsidR="00973078">
        <w:rPr>
          <w:szCs w:val="26"/>
        </w:rPr>
        <w:t xml:space="preserve">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4.7. </w:t>
      </w:r>
      <w:r w:rsidR="00973078">
        <w:rPr>
          <w:rFonts w:eastAsia="Calibri"/>
          <w:snapToGrid/>
          <w:szCs w:val="26"/>
          <w:lang w:eastAsia="en-US"/>
        </w:rPr>
        <w:t>2,0</w:t>
      </w:r>
      <w:r w:rsidRPr="00973078">
        <w:rPr>
          <w:rFonts w:eastAsia="Calibri"/>
          <w:snapToGrid/>
          <w:szCs w:val="26"/>
          <w:lang w:eastAsia="en-US"/>
        </w:rPr>
        <w:t xml:space="preserve"> 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="0026155D">
        <w:rPr>
          <w:rFonts w:eastAsia="Calibri"/>
          <w:snapToGrid/>
          <w:szCs w:val="26"/>
          <w:lang w:eastAsia="en-US"/>
        </w:rPr>
        <w:t>.2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</w:t>
      </w:r>
      <w:r w:rsidR="0026155D" w:rsidRPr="00973078">
        <w:rPr>
          <w:rFonts w:eastAsia="Calibri"/>
          <w:snapToGrid/>
          <w:szCs w:val="26"/>
          <w:lang w:eastAsia="en-US"/>
        </w:rPr>
        <w:t>378</w:t>
      </w:r>
      <w:r w:rsidR="0026155D">
        <w:rPr>
          <w:rFonts w:eastAsia="Calibri"/>
          <w:snapToGrid/>
          <w:szCs w:val="26"/>
          <w:lang w:eastAsia="en-US"/>
        </w:rPr>
        <w:t>.2</w:t>
      </w:r>
      <w:r w:rsidR="0026155D" w:rsidRPr="00973078">
        <w:rPr>
          <w:rFonts w:eastAsia="Calibri"/>
          <w:snapToGrid/>
          <w:szCs w:val="26"/>
          <w:lang w:eastAsia="en-US"/>
        </w:rPr>
        <w:t xml:space="preserve"> 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4.8. </w:t>
      </w:r>
      <w:r w:rsidR="00973078">
        <w:rPr>
          <w:rFonts w:eastAsia="Calibri"/>
          <w:snapToGrid/>
          <w:szCs w:val="26"/>
          <w:lang w:eastAsia="en-US"/>
        </w:rPr>
        <w:t xml:space="preserve">2,0 </w:t>
      </w:r>
      <w:r w:rsidRPr="00973078">
        <w:rPr>
          <w:rFonts w:eastAsia="Calibri"/>
          <w:snapToGrid/>
          <w:szCs w:val="26"/>
          <w:lang w:eastAsia="en-US"/>
        </w:rPr>
        <w:t>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854AA2" w:rsidRDefault="00545858" w:rsidP="003B407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4.9. </w:t>
      </w:r>
      <w:r w:rsidR="00973078">
        <w:rPr>
          <w:rFonts w:eastAsia="Calibri"/>
          <w:snapToGrid/>
          <w:szCs w:val="26"/>
          <w:lang w:eastAsia="en-US"/>
        </w:rPr>
        <w:t xml:space="preserve">0,5 </w:t>
      </w:r>
      <w:r w:rsidRPr="00973078">
        <w:rPr>
          <w:rFonts w:eastAsia="Calibri"/>
          <w:snapToGrid/>
          <w:szCs w:val="26"/>
          <w:lang w:eastAsia="en-US"/>
        </w:rPr>
        <w:t>процента в отношении прочих объектов налогообложения.</w:t>
      </w:r>
    </w:p>
    <w:p w:rsidR="00532B4E" w:rsidRPr="003B407D" w:rsidRDefault="00532B4E" w:rsidP="003B407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Cs w:val="26"/>
          <w:lang w:eastAsia="en-US"/>
        </w:rPr>
      </w:pPr>
      <w:r>
        <w:rPr>
          <w:rFonts w:eastAsia="Calibri"/>
          <w:snapToGrid/>
          <w:szCs w:val="26"/>
          <w:lang w:eastAsia="en-US"/>
        </w:rPr>
        <w:t>5.Решение Совета депутатов Аршановского сельсовета от 13.11.2014 № 49 «</w:t>
      </w:r>
      <w:r w:rsidRPr="00D5799C">
        <w:rPr>
          <w:rFonts w:eastAsia="Calibri"/>
          <w:szCs w:val="26"/>
        </w:rPr>
        <w:t xml:space="preserve">Об установлении на территории </w:t>
      </w:r>
      <w:r>
        <w:rPr>
          <w:rFonts w:eastAsia="Calibri"/>
          <w:szCs w:val="26"/>
        </w:rPr>
        <w:t>Аршановского</w:t>
      </w:r>
      <w:r w:rsidRPr="00D5799C">
        <w:rPr>
          <w:rFonts w:eastAsia="Calibri"/>
          <w:szCs w:val="26"/>
        </w:rPr>
        <w:t xml:space="preserve"> сельсовета налога на имущество физических лиц</w:t>
      </w:r>
      <w:r>
        <w:rPr>
          <w:rFonts w:eastAsia="Calibri"/>
          <w:szCs w:val="26"/>
        </w:rPr>
        <w:t>» считать утратившим силу.</w:t>
      </w:r>
    </w:p>
    <w:p w:rsidR="00545858" w:rsidRPr="00973078" w:rsidRDefault="00532B4E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6</w:t>
      </w:r>
      <w:r w:rsidR="00545858" w:rsidRPr="00973078">
        <w:rPr>
          <w:rFonts w:eastAsia="Calibri"/>
          <w:bCs/>
          <w:snapToGrid/>
          <w:szCs w:val="26"/>
          <w:lang w:eastAsia="en-US"/>
        </w:rPr>
        <w:t xml:space="preserve">. </w:t>
      </w:r>
      <w:r w:rsidR="00545858" w:rsidRPr="00973078">
        <w:rPr>
          <w:snapToGrid/>
          <w:szCs w:val="26"/>
        </w:rPr>
        <w:t xml:space="preserve">Настоящее </w:t>
      </w:r>
      <w:r w:rsidR="003940AB" w:rsidRPr="00973078">
        <w:rPr>
          <w:snapToGrid/>
          <w:szCs w:val="26"/>
        </w:rPr>
        <w:t xml:space="preserve">Решение </w:t>
      </w:r>
      <w:r w:rsidR="00545858" w:rsidRPr="00973078">
        <w:rPr>
          <w:snapToGrid/>
          <w:szCs w:val="26"/>
        </w:rPr>
        <w:t>вступает в силу по истечении одного месяца с момента официального опубликования, но не ранее 1 января 201</w:t>
      </w:r>
      <w:r w:rsidR="003940AB" w:rsidRPr="00973078">
        <w:rPr>
          <w:snapToGrid/>
          <w:szCs w:val="26"/>
        </w:rPr>
        <w:t>6</w:t>
      </w:r>
      <w:r w:rsidR="00545858" w:rsidRPr="00973078">
        <w:rPr>
          <w:snapToGrid/>
          <w:szCs w:val="26"/>
        </w:rPr>
        <w:t xml:space="preserve"> года.</w:t>
      </w: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CB1AD6" w:rsidRDefault="00CB1AD6" w:rsidP="00CB1AD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B1AD6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О.В. Нарылкова</w:t>
      </w:r>
    </w:p>
    <w:p w:rsidR="00CB1AD6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B1AD6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1AD6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B1AD6" w:rsidRDefault="00CB1AD6" w:rsidP="00CB1AD6">
      <w:pPr>
        <w:rPr>
          <w:rFonts w:asciiTheme="minorHAnsi" w:hAnsiTheme="minorHAnsi" w:cstheme="minorBidi"/>
          <w:szCs w:val="26"/>
        </w:rPr>
      </w:pPr>
    </w:p>
    <w:p w:rsidR="004121CA" w:rsidRPr="00973078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973078" w:rsidSect="000661AE">
      <w:headerReference w:type="even" r:id="rId8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04" w:rsidRDefault="00E80C04" w:rsidP="00577B80">
      <w:r>
        <w:separator/>
      </w:r>
    </w:p>
  </w:endnote>
  <w:endnote w:type="continuationSeparator" w:id="1">
    <w:p w:rsidR="00E80C04" w:rsidRDefault="00E80C04" w:rsidP="0057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04" w:rsidRDefault="00E80C04" w:rsidP="00577B80">
      <w:r>
        <w:separator/>
      </w:r>
    </w:p>
  </w:footnote>
  <w:footnote w:type="continuationSeparator" w:id="1">
    <w:p w:rsidR="00E80C04" w:rsidRDefault="00E80C04" w:rsidP="0057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1440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E80C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8"/>
    <w:rsid w:val="000661AE"/>
    <w:rsid w:val="001536FF"/>
    <w:rsid w:val="00193588"/>
    <w:rsid w:val="0026155D"/>
    <w:rsid w:val="002B394B"/>
    <w:rsid w:val="003457CB"/>
    <w:rsid w:val="003940AB"/>
    <w:rsid w:val="003B407D"/>
    <w:rsid w:val="003E18B9"/>
    <w:rsid w:val="004015A9"/>
    <w:rsid w:val="004121CA"/>
    <w:rsid w:val="00437288"/>
    <w:rsid w:val="005272D3"/>
    <w:rsid w:val="00532B4E"/>
    <w:rsid w:val="00545858"/>
    <w:rsid w:val="00577B80"/>
    <w:rsid w:val="005E336C"/>
    <w:rsid w:val="00626A1A"/>
    <w:rsid w:val="0064504F"/>
    <w:rsid w:val="006661B6"/>
    <w:rsid w:val="00831F85"/>
    <w:rsid w:val="00854AA2"/>
    <w:rsid w:val="008706E7"/>
    <w:rsid w:val="0090141E"/>
    <w:rsid w:val="009267A3"/>
    <w:rsid w:val="00961848"/>
    <w:rsid w:val="00973078"/>
    <w:rsid w:val="009A044A"/>
    <w:rsid w:val="009D748A"/>
    <w:rsid w:val="009D7C1B"/>
    <w:rsid w:val="00A14233"/>
    <w:rsid w:val="00A1440A"/>
    <w:rsid w:val="00A7475B"/>
    <w:rsid w:val="00A91009"/>
    <w:rsid w:val="00B07F14"/>
    <w:rsid w:val="00B35778"/>
    <w:rsid w:val="00BD196E"/>
    <w:rsid w:val="00CB1AD6"/>
    <w:rsid w:val="00CC7390"/>
    <w:rsid w:val="00D413D5"/>
    <w:rsid w:val="00D86624"/>
    <w:rsid w:val="00E30D79"/>
    <w:rsid w:val="00E80C04"/>
    <w:rsid w:val="00EB4B43"/>
    <w:rsid w:val="00F804B1"/>
    <w:rsid w:val="00F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Нарылкова Оксана Васильевна</cp:lastModifiedBy>
  <cp:revision>19</cp:revision>
  <cp:lastPrinted>2015-10-22T04:00:00Z</cp:lastPrinted>
  <dcterms:created xsi:type="dcterms:W3CDTF">2015-10-05T04:51:00Z</dcterms:created>
  <dcterms:modified xsi:type="dcterms:W3CDTF">2015-10-22T04:00:00Z</dcterms:modified>
</cp:coreProperties>
</file>