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F5" w:rsidRDefault="00EB5AF5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                                  ПРОЕКТ</w:t>
      </w:r>
    </w:p>
    <w:p w:rsidR="003457CB" w:rsidRPr="00EB5AF5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47675" cy="619125"/>
            <wp:effectExtent l="19050" t="0" r="9525" b="0"/>
            <wp:docPr id="1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AI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7CB" w:rsidRPr="00EB5AF5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</w:p>
    <w:p w:rsidR="003457CB" w:rsidRPr="00EB5AF5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3457CB" w:rsidRPr="00EB5AF5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3457CB" w:rsidRPr="00EB5AF5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3457CB" w:rsidRPr="00EB5AF5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3457CB" w:rsidRPr="00EB5AF5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Алтайского района Республики Хакасия</w:t>
      </w:r>
    </w:p>
    <w:p w:rsidR="003457CB" w:rsidRPr="00EB5AF5" w:rsidRDefault="003457CB" w:rsidP="003457CB">
      <w:pPr>
        <w:pStyle w:val="a6"/>
        <w:ind w:firstLine="709"/>
        <w:rPr>
          <w:rFonts w:ascii="Times New Roman" w:hAnsi="Times New Roman"/>
          <w:sz w:val="26"/>
          <w:szCs w:val="26"/>
        </w:rPr>
      </w:pPr>
    </w:p>
    <w:p w:rsidR="003457CB" w:rsidRPr="00EB5AF5" w:rsidRDefault="00EB5AF5" w:rsidP="00EB5AF5">
      <w:pPr>
        <w:pStyle w:val="a6"/>
        <w:ind w:firstLine="70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="003457CB" w:rsidRPr="00EB5AF5">
        <w:rPr>
          <w:rFonts w:ascii="Times New Roman" w:hAnsi="Times New Roman"/>
          <w:sz w:val="26"/>
          <w:szCs w:val="26"/>
        </w:rPr>
        <w:t>РЕШЕНИЕ</w:t>
      </w:r>
    </w:p>
    <w:p w:rsidR="003457CB" w:rsidRPr="00EB5AF5" w:rsidRDefault="003457CB" w:rsidP="003457CB">
      <w:pPr>
        <w:pStyle w:val="a6"/>
        <w:ind w:firstLine="709"/>
        <w:rPr>
          <w:rFonts w:ascii="Times New Roman" w:hAnsi="Times New Roman"/>
          <w:sz w:val="26"/>
          <w:szCs w:val="26"/>
        </w:rPr>
      </w:pPr>
    </w:p>
    <w:p w:rsidR="003457CB" w:rsidRPr="00EB5AF5" w:rsidRDefault="0090141E" w:rsidP="003457CB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EB5AF5">
        <w:rPr>
          <w:rFonts w:ascii="Times New Roman" w:hAnsi="Times New Roman"/>
          <w:sz w:val="26"/>
          <w:szCs w:val="26"/>
        </w:rPr>
        <w:t xml:space="preserve"> </w:t>
      </w:r>
    </w:p>
    <w:p w:rsidR="003457CB" w:rsidRPr="00EB5AF5" w:rsidRDefault="00EB5AF5" w:rsidP="003457CB">
      <w:pPr>
        <w:pStyle w:val="a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________2019</w:t>
      </w:r>
      <w:r w:rsidR="003457CB" w:rsidRPr="00EB5AF5">
        <w:rPr>
          <w:rFonts w:ascii="Times New Roman" w:hAnsi="Times New Roman"/>
          <w:b w:val="0"/>
          <w:sz w:val="26"/>
          <w:szCs w:val="26"/>
        </w:rPr>
        <w:t xml:space="preserve"> г.                      </w:t>
      </w:r>
      <w:r w:rsidR="001F1372">
        <w:rPr>
          <w:rFonts w:ascii="Times New Roman" w:hAnsi="Times New Roman"/>
          <w:b w:val="0"/>
          <w:sz w:val="26"/>
          <w:szCs w:val="26"/>
        </w:rPr>
        <w:t xml:space="preserve">               </w:t>
      </w:r>
      <w:r w:rsidR="003457CB" w:rsidRPr="00EB5AF5">
        <w:rPr>
          <w:rFonts w:ascii="Times New Roman" w:hAnsi="Times New Roman"/>
          <w:b w:val="0"/>
          <w:sz w:val="26"/>
          <w:szCs w:val="26"/>
        </w:rPr>
        <w:t xml:space="preserve"> с. Аршаново</w:t>
      </w:r>
      <w:r w:rsidR="003457CB" w:rsidRPr="00EB5AF5">
        <w:rPr>
          <w:rFonts w:ascii="Times New Roman" w:hAnsi="Times New Roman"/>
          <w:b w:val="0"/>
          <w:sz w:val="26"/>
          <w:szCs w:val="26"/>
        </w:rPr>
        <w:tab/>
        <w:t xml:space="preserve">                         №</w:t>
      </w:r>
      <w:r w:rsidR="0090141E" w:rsidRPr="00EB5AF5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___</w:t>
      </w:r>
    </w:p>
    <w:p w:rsidR="003457CB" w:rsidRPr="00EB5AF5" w:rsidRDefault="003457CB" w:rsidP="00545858">
      <w:pPr>
        <w:jc w:val="center"/>
        <w:rPr>
          <w:snapToGrid/>
          <w:szCs w:val="26"/>
        </w:rPr>
      </w:pPr>
    </w:p>
    <w:p w:rsidR="003457CB" w:rsidRPr="00EB5AF5" w:rsidRDefault="003457CB" w:rsidP="00545858">
      <w:pPr>
        <w:jc w:val="center"/>
        <w:rPr>
          <w:snapToGrid/>
          <w:szCs w:val="26"/>
        </w:rPr>
      </w:pPr>
    </w:p>
    <w:p w:rsidR="00545858" w:rsidRPr="00EB5AF5" w:rsidRDefault="003457CB" w:rsidP="003457CB">
      <w:pPr>
        <w:rPr>
          <w:snapToGrid/>
          <w:szCs w:val="26"/>
        </w:rPr>
      </w:pPr>
      <w:r w:rsidRPr="00EB5AF5">
        <w:rPr>
          <w:snapToGrid/>
          <w:szCs w:val="26"/>
        </w:rPr>
        <w:t>Об установлении налога на имущество физических лиц</w:t>
      </w:r>
    </w:p>
    <w:p w:rsidR="00545858" w:rsidRPr="00EB5AF5" w:rsidRDefault="00545858" w:rsidP="00545858">
      <w:pPr>
        <w:jc w:val="center"/>
        <w:rPr>
          <w:snapToGrid/>
          <w:szCs w:val="26"/>
        </w:rPr>
      </w:pPr>
    </w:p>
    <w:p w:rsidR="00545858" w:rsidRPr="00EB5AF5" w:rsidRDefault="00545858" w:rsidP="00545858">
      <w:pPr>
        <w:jc w:val="center"/>
        <w:rPr>
          <w:snapToGrid/>
          <w:szCs w:val="26"/>
        </w:rPr>
      </w:pPr>
    </w:p>
    <w:p w:rsidR="003457CB" w:rsidRPr="00EB5AF5" w:rsidRDefault="008C39D8" w:rsidP="003457CB">
      <w:pPr>
        <w:ind w:firstLine="709"/>
        <w:jc w:val="both"/>
        <w:rPr>
          <w:szCs w:val="26"/>
        </w:rPr>
      </w:pPr>
      <w:r w:rsidRPr="00571012">
        <w:rPr>
          <w:szCs w:val="26"/>
          <w:shd w:val="clear" w:color="auto" w:fill="FFFFFF"/>
        </w:rPr>
        <w:t>В соответствии с главой 32 «Налог на имущество физических лиц»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EB5AF5">
        <w:rPr>
          <w:color w:val="444444"/>
          <w:szCs w:val="26"/>
          <w:shd w:val="clear" w:color="auto" w:fill="FFFFFF"/>
        </w:rPr>
        <w:t xml:space="preserve"> </w:t>
      </w:r>
      <w:r w:rsidR="002B394B" w:rsidRPr="00EB5AF5">
        <w:rPr>
          <w:szCs w:val="26"/>
        </w:rPr>
        <w:t xml:space="preserve">Законом Республики Хакасия от 14.07.2015 № 64-ЗРХ «Об установлении единой даты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налогообложения», </w:t>
      </w:r>
      <w:r w:rsidR="00545858" w:rsidRPr="00EB5AF5">
        <w:rPr>
          <w:szCs w:val="26"/>
        </w:rPr>
        <w:t xml:space="preserve">руководствуясь </w:t>
      </w:r>
      <w:r w:rsidR="003457CB" w:rsidRPr="00EB5AF5">
        <w:rPr>
          <w:szCs w:val="26"/>
        </w:rPr>
        <w:t xml:space="preserve">Уставом муниципального образования Аршановский сельсовет Алтайского района Республики Хакасия, </w:t>
      </w:r>
      <w:r w:rsidR="00F17203" w:rsidRPr="00EB5AF5">
        <w:rPr>
          <w:szCs w:val="26"/>
        </w:rPr>
        <w:t xml:space="preserve">руководствуясь ст.29 </w:t>
      </w:r>
      <w:r w:rsidR="003457CB" w:rsidRPr="00EB5AF5">
        <w:rPr>
          <w:szCs w:val="26"/>
        </w:rPr>
        <w:t>Совет</w:t>
      </w:r>
      <w:r w:rsidR="00F17203" w:rsidRPr="00EB5AF5">
        <w:rPr>
          <w:szCs w:val="26"/>
        </w:rPr>
        <w:t>а</w:t>
      </w:r>
      <w:r w:rsidR="003457CB" w:rsidRPr="00EB5AF5">
        <w:rPr>
          <w:szCs w:val="26"/>
        </w:rPr>
        <w:t xml:space="preserve"> депутатов Аршановского сельсовета Алтайского района Республики Хакасия</w:t>
      </w:r>
    </w:p>
    <w:p w:rsidR="003457CB" w:rsidRPr="00EB5AF5" w:rsidRDefault="003457CB" w:rsidP="003457CB">
      <w:pPr>
        <w:pStyle w:val="a6"/>
        <w:ind w:firstLine="709"/>
        <w:rPr>
          <w:rFonts w:ascii="Times New Roman" w:hAnsi="Times New Roman"/>
          <w:b w:val="0"/>
          <w:bCs/>
          <w:sz w:val="26"/>
          <w:szCs w:val="26"/>
        </w:rPr>
      </w:pPr>
    </w:p>
    <w:p w:rsidR="003457CB" w:rsidRPr="00EB5AF5" w:rsidRDefault="003457CB" w:rsidP="003457CB">
      <w:pPr>
        <w:pStyle w:val="a6"/>
        <w:ind w:firstLine="709"/>
        <w:rPr>
          <w:rFonts w:ascii="Times New Roman" w:hAnsi="Times New Roman"/>
          <w:b w:val="0"/>
          <w:bCs/>
          <w:sz w:val="26"/>
          <w:szCs w:val="26"/>
        </w:rPr>
      </w:pPr>
      <w:r w:rsidRPr="00EB5AF5">
        <w:rPr>
          <w:rFonts w:ascii="Times New Roman" w:hAnsi="Times New Roman"/>
          <w:b w:val="0"/>
          <w:bCs/>
          <w:sz w:val="26"/>
          <w:szCs w:val="26"/>
        </w:rPr>
        <w:t>РЕШИЛ:</w:t>
      </w:r>
    </w:p>
    <w:p w:rsidR="00545858" w:rsidRPr="00EB5AF5" w:rsidRDefault="00545858" w:rsidP="003457CB">
      <w:pPr>
        <w:pStyle w:val="ConsPlusNormal"/>
        <w:jc w:val="both"/>
        <w:rPr>
          <w:sz w:val="26"/>
          <w:szCs w:val="26"/>
        </w:rPr>
      </w:pPr>
    </w:p>
    <w:p w:rsidR="00626A1A" w:rsidRPr="00EB5AF5" w:rsidRDefault="00545858" w:rsidP="001536FF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 w:rsidRPr="00EB5AF5">
        <w:rPr>
          <w:snapToGrid/>
          <w:szCs w:val="26"/>
        </w:rPr>
        <w:t>1. Установить на террит</w:t>
      </w:r>
      <w:r w:rsidR="003457CB" w:rsidRPr="00EB5AF5">
        <w:rPr>
          <w:snapToGrid/>
          <w:szCs w:val="26"/>
        </w:rPr>
        <w:t xml:space="preserve">ории Аршановского сельсовета </w:t>
      </w:r>
      <w:r w:rsidRPr="00EB5AF5">
        <w:rPr>
          <w:snapToGrid/>
          <w:szCs w:val="26"/>
        </w:rPr>
        <w:t>налог на имущество физических лиц (далее – налог).</w:t>
      </w:r>
    </w:p>
    <w:p w:rsidR="00FD7429" w:rsidRPr="00EB5AF5" w:rsidRDefault="00FD7429" w:rsidP="001536FF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 w:rsidRPr="00EB5AF5">
        <w:rPr>
          <w:snapToGrid/>
          <w:szCs w:val="26"/>
        </w:rPr>
        <w:t>Налог подлежит уплате налогоплательщиками в срок не позднее 1 декабря года, следующего за истекшим налоговым периодом.</w:t>
      </w:r>
    </w:p>
    <w:p w:rsidR="00F804B1" w:rsidRPr="00EB5AF5" w:rsidRDefault="00545858" w:rsidP="003457CB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 w:rsidRPr="00EB5AF5">
        <w:rPr>
          <w:snapToGrid/>
          <w:szCs w:val="26"/>
        </w:rPr>
        <w:t xml:space="preserve">2. </w:t>
      </w:r>
      <w:r w:rsidR="002F1AC0" w:rsidRPr="00EB5AF5">
        <w:rPr>
          <w:color w:val="2D2D2D"/>
          <w:spacing w:val="2"/>
          <w:szCs w:val="26"/>
          <w:shd w:val="clear" w:color="auto" w:fill="FFFFFF"/>
        </w:rPr>
        <w:t>Установить, что налоговая база по налогу в отношении объектов налогообложения определяется исходя из их кадастровой стоимости</w:t>
      </w:r>
      <w:r w:rsidRPr="00EB5AF5">
        <w:rPr>
          <w:snapToGrid/>
          <w:szCs w:val="26"/>
        </w:rPr>
        <w:t>.</w:t>
      </w:r>
    </w:p>
    <w:p w:rsidR="00545858" w:rsidRDefault="00545858" w:rsidP="00545858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 w:rsidRPr="00EB5AF5">
        <w:rPr>
          <w:rFonts w:eastAsia="Calibri"/>
          <w:snapToGrid/>
          <w:szCs w:val="26"/>
          <w:lang w:eastAsia="en-US"/>
        </w:rPr>
        <w:t xml:space="preserve">3. </w:t>
      </w:r>
      <w:r w:rsidR="002F1AC0" w:rsidRPr="00EB5AF5">
        <w:rPr>
          <w:szCs w:val="26"/>
          <w:shd w:val="clear" w:color="auto" w:fill="FFFFFF"/>
        </w:rPr>
        <w:t>Определить следующие налоговые ставки по налогу</w:t>
      </w:r>
      <w:r w:rsidRPr="00EB5AF5">
        <w:rPr>
          <w:snapToGrid/>
          <w:szCs w:val="26"/>
        </w:rPr>
        <w:t>:</w:t>
      </w:r>
    </w:p>
    <w:p w:rsidR="00EB5AF5" w:rsidRPr="00EB5AF5" w:rsidRDefault="00EB5AF5" w:rsidP="00545858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</w:p>
    <w:tbl>
      <w:tblPr>
        <w:tblW w:w="92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5505"/>
        <w:gridCol w:w="3200"/>
      </w:tblGrid>
      <w:tr w:rsidR="002F1AC0" w:rsidRPr="00EB5AF5" w:rsidTr="002F1AC0">
        <w:trPr>
          <w:trHeight w:val="1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2F1AC0">
            <w:pPr>
              <w:jc w:val="center"/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2F1AC0">
            <w:pPr>
              <w:jc w:val="center"/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Вид объекта налогообложения 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2F1AC0">
            <w:pPr>
              <w:jc w:val="center"/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Налоговая ставка (%) </w:t>
            </w:r>
          </w:p>
        </w:tc>
      </w:tr>
      <w:tr w:rsidR="002F1AC0" w:rsidRPr="00EB5AF5" w:rsidTr="002F1AC0">
        <w:trPr>
          <w:trHeight w:val="55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2F1AC0">
            <w:pPr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3.1. 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EB5AF5">
            <w:pPr>
              <w:jc w:val="both"/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жилые дома, части жилых домов, квартир, частей квартир, комнат; 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1AC0" w:rsidRPr="002F1AC0" w:rsidRDefault="002F1AC0" w:rsidP="00EB5AF5">
            <w:pPr>
              <w:jc w:val="center"/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0,2</w:t>
            </w:r>
          </w:p>
          <w:p w:rsidR="002F1AC0" w:rsidRPr="002F1AC0" w:rsidRDefault="002F1AC0" w:rsidP="00EB5AF5">
            <w:pPr>
              <w:jc w:val="center"/>
              <w:textAlignment w:val="baseline"/>
              <w:rPr>
                <w:snapToGrid/>
                <w:szCs w:val="26"/>
              </w:rPr>
            </w:pPr>
          </w:p>
        </w:tc>
      </w:tr>
      <w:tr w:rsidR="002F1AC0" w:rsidRPr="00EB5AF5" w:rsidTr="002F1AC0">
        <w:trPr>
          <w:trHeight w:val="94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2F1AC0">
            <w:pPr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3.2. 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EB5AF5">
            <w:pPr>
              <w:jc w:val="both"/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объекты незавершенного строительства в случае, если проектируемым назначением таких объектов является жилой дом;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1AC0" w:rsidRPr="002F1AC0" w:rsidRDefault="002F1AC0" w:rsidP="00EB5AF5">
            <w:pPr>
              <w:jc w:val="center"/>
              <w:rPr>
                <w:snapToGrid/>
                <w:szCs w:val="26"/>
              </w:rPr>
            </w:pPr>
          </w:p>
        </w:tc>
      </w:tr>
      <w:tr w:rsidR="002F1AC0" w:rsidRPr="00EB5AF5" w:rsidTr="002F1AC0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2F1AC0">
            <w:pPr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3.3. 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EB5AF5">
            <w:pPr>
              <w:jc w:val="both"/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 xml:space="preserve">единые недвижимые комплексы, в состав которых входит хотя бы одно жилое помещение </w:t>
            </w:r>
            <w:r w:rsidRPr="002F1AC0">
              <w:rPr>
                <w:snapToGrid/>
                <w:szCs w:val="26"/>
              </w:rPr>
              <w:lastRenderedPageBreak/>
              <w:t>(жилой дом);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1AC0" w:rsidRPr="002F1AC0" w:rsidRDefault="002F1AC0" w:rsidP="00EB5AF5">
            <w:pPr>
              <w:jc w:val="center"/>
              <w:rPr>
                <w:snapToGrid/>
                <w:szCs w:val="26"/>
              </w:rPr>
            </w:pPr>
          </w:p>
        </w:tc>
      </w:tr>
      <w:tr w:rsidR="002F1AC0" w:rsidRPr="00EB5AF5" w:rsidTr="002F1AC0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2F1AC0">
            <w:pPr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lastRenderedPageBreak/>
              <w:t>3.4. 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EB5AF5">
            <w:pPr>
              <w:jc w:val="both"/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гаражи и машино-места;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1AC0" w:rsidRPr="002F1AC0" w:rsidRDefault="002F1AC0" w:rsidP="00EB5AF5">
            <w:pPr>
              <w:jc w:val="center"/>
              <w:rPr>
                <w:snapToGrid/>
                <w:szCs w:val="26"/>
              </w:rPr>
            </w:pPr>
          </w:p>
        </w:tc>
      </w:tr>
      <w:tr w:rsidR="002F1AC0" w:rsidRPr="00EB5AF5" w:rsidTr="002F1AC0">
        <w:trPr>
          <w:trHeight w:val="750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2F1AC0">
            <w:pPr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3.5. 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EB5AF5">
            <w:pPr>
              <w:jc w:val="both"/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1AC0" w:rsidRPr="002F1AC0" w:rsidRDefault="002F1AC0" w:rsidP="00EB5AF5">
            <w:pPr>
              <w:jc w:val="center"/>
              <w:rPr>
                <w:snapToGrid/>
                <w:szCs w:val="26"/>
              </w:rPr>
            </w:pPr>
          </w:p>
        </w:tc>
      </w:tr>
      <w:tr w:rsidR="002F1AC0" w:rsidRPr="00EB5AF5" w:rsidTr="002F1AC0">
        <w:trPr>
          <w:trHeight w:val="115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2F1AC0">
            <w:pPr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3.6. 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EB5AF5">
            <w:pPr>
              <w:jc w:val="both"/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 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1AC0" w:rsidRPr="002F1AC0" w:rsidRDefault="002F1AC0" w:rsidP="00EB5AF5">
            <w:pPr>
              <w:jc w:val="center"/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2,0</w:t>
            </w:r>
          </w:p>
        </w:tc>
      </w:tr>
      <w:tr w:rsidR="002F1AC0" w:rsidRPr="00EB5AF5" w:rsidTr="002F1AC0">
        <w:trPr>
          <w:trHeight w:val="750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2F1AC0">
            <w:pPr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3.7. 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EB5AF5">
            <w:pPr>
              <w:jc w:val="both"/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объекты налогообложения, кадастровая стоимость каждого из которых превышает 300 млн. руб. 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1AC0" w:rsidRPr="002F1AC0" w:rsidRDefault="002F1AC0" w:rsidP="00EB5AF5">
            <w:pPr>
              <w:jc w:val="center"/>
              <w:rPr>
                <w:snapToGrid/>
                <w:szCs w:val="26"/>
              </w:rPr>
            </w:pPr>
          </w:p>
        </w:tc>
      </w:tr>
      <w:tr w:rsidR="002F1AC0" w:rsidRPr="00EB5AF5" w:rsidTr="002F1AC0">
        <w:trPr>
          <w:trHeight w:val="49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2F1AC0">
            <w:pPr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3.8. 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1AC0" w:rsidRPr="002F1AC0" w:rsidRDefault="002F1AC0" w:rsidP="00EB5AF5">
            <w:pPr>
              <w:jc w:val="both"/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прочие 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1AC0" w:rsidRPr="002F1AC0" w:rsidRDefault="002F1AC0" w:rsidP="00EB5AF5">
            <w:pPr>
              <w:jc w:val="center"/>
              <w:textAlignment w:val="baseline"/>
              <w:rPr>
                <w:snapToGrid/>
                <w:szCs w:val="26"/>
              </w:rPr>
            </w:pPr>
            <w:r w:rsidRPr="002F1AC0">
              <w:rPr>
                <w:snapToGrid/>
                <w:szCs w:val="26"/>
              </w:rPr>
              <w:t>0,5</w:t>
            </w:r>
          </w:p>
        </w:tc>
      </w:tr>
    </w:tbl>
    <w:p w:rsidR="00EB5AF5" w:rsidRDefault="00EB5AF5" w:rsidP="00EB5AF5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EB5AF5" w:rsidRPr="00EB5AF5" w:rsidRDefault="00545858" w:rsidP="00EB5AF5">
      <w:pPr>
        <w:autoSpaceDE w:val="0"/>
        <w:autoSpaceDN w:val="0"/>
        <w:adjustRightInd w:val="0"/>
        <w:ind w:firstLine="708"/>
        <w:jc w:val="both"/>
        <w:rPr>
          <w:szCs w:val="26"/>
          <w:shd w:val="clear" w:color="auto" w:fill="FFFFFF"/>
        </w:rPr>
      </w:pPr>
      <w:r w:rsidRPr="00EB5AF5">
        <w:rPr>
          <w:szCs w:val="26"/>
        </w:rPr>
        <w:t>4.</w:t>
      </w:r>
      <w:r w:rsidR="00EB5AF5" w:rsidRPr="00EB5AF5">
        <w:rPr>
          <w:szCs w:val="26"/>
          <w:shd w:val="clear" w:color="auto" w:fill="FFFFFF"/>
        </w:rPr>
        <w:t xml:space="preserve"> Налоговые вычеты и налоговые льготы предоставляются в соответствии со статьями 403 и 407 главы 32 Налогового кодекса Ро</w:t>
      </w:r>
      <w:r w:rsidR="00EB5AF5">
        <w:rPr>
          <w:szCs w:val="26"/>
          <w:shd w:val="clear" w:color="auto" w:fill="FFFFFF"/>
        </w:rPr>
        <w:t>ссийской Федерации.</w:t>
      </w:r>
    </w:p>
    <w:p w:rsidR="00854AA2" w:rsidRPr="00EB5AF5" w:rsidRDefault="00EB5AF5" w:rsidP="00EB5AF5">
      <w:pPr>
        <w:autoSpaceDE w:val="0"/>
        <w:autoSpaceDN w:val="0"/>
        <w:adjustRightInd w:val="0"/>
        <w:ind w:firstLine="708"/>
        <w:jc w:val="both"/>
        <w:rPr>
          <w:szCs w:val="26"/>
          <w:shd w:val="clear" w:color="auto" w:fill="FFFFFF"/>
        </w:rPr>
      </w:pPr>
      <w:r w:rsidRPr="00EB5AF5">
        <w:rPr>
          <w:szCs w:val="26"/>
          <w:shd w:val="clear" w:color="auto" w:fill="FFFFFF"/>
        </w:rPr>
        <w:t>5</w:t>
      </w:r>
      <w:r w:rsidR="00545858" w:rsidRPr="00EB5AF5">
        <w:rPr>
          <w:rFonts w:eastAsia="Calibri"/>
          <w:snapToGrid/>
          <w:szCs w:val="26"/>
          <w:lang w:eastAsia="en-US"/>
        </w:rPr>
        <w:t>.</w:t>
      </w:r>
      <w:r w:rsidRPr="00EB5AF5">
        <w:rPr>
          <w:szCs w:val="26"/>
          <w:shd w:val="clear" w:color="auto" w:fill="FFFFFF"/>
        </w:rPr>
        <w:t xml:space="preserve"> Основания и порядок применения налоговых льгот осуществляется налогоплательщиками в соответствии со статьей 407 главы 32 Налогового Кодекса Российской Федерации.</w:t>
      </w:r>
    </w:p>
    <w:p w:rsidR="00EB5AF5" w:rsidRPr="00EB5AF5" w:rsidRDefault="00EB5AF5" w:rsidP="00EB5AF5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EB5AF5">
        <w:rPr>
          <w:szCs w:val="26"/>
          <w:shd w:val="clear" w:color="auto" w:fill="FFFFFF"/>
        </w:rPr>
        <w:t>6. Порядок исчисления суммы налога в переходный период определяется на основании статьи 408 главы 32 Налогового кодекса Российской Федерации.</w:t>
      </w:r>
    </w:p>
    <w:p w:rsidR="0049214C" w:rsidRPr="00EB5AF5" w:rsidRDefault="00EB5AF5" w:rsidP="0049214C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Cs w:val="26"/>
        </w:rPr>
      </w:pPr>
      <w:r w:rsidRPr="00EB5AF5">
        <w:rPr>
          <w:rFonts w:eastAsia="Calibri"/>
          <w:snapToGrid/>
          <w:szCs w:val="26"/>
          <w:lang w:eastAsia="en-US"/>
        </w:rPr>
        <w:t>7</w:t>
      </w:r>
      <w:r w:rsidR="00532B4E" w:rsidRPr="00EB5AF5">
        <w:rPr>
          <w:rFonts w:eastAsia="Calibri"/>
          <w:snapToGrid/>
          <w:szCs w:val="26"/>
          <w:lang w:eastAsia="en-US"/>
        </w:rPr>
        <w:t>.Решени</w:t>
      </w:r>
      <w:r w:rsidR="00F82C11" w:rsidRPr="00EB5AF5">
        <w:rPr>
          <w:rFonts w:eastAsia="Calibri"/>
          <w:snapToGrid/>
          <w:szCs w:val="26"/>
          <w:lang w:eastAsia="en-US"/>
        </w:rPr>
        <w:t>я</w:t>
      </w:r>
      <w:r w:rsidR="00532B4E" w:rsidRPr="00EB5AF5">
        <w:rPr>
          <w:rFonts w:eastAsia="Calibri"/>
          <w:snapToGrid/>
          <w:szCs w:val="26"/>
          <w:lang w:eastAsia="en-US"/>
        </w:rPr>
        <w:t xml:space="preserve"> Совета депутатов Аршановского сельсовета от </w:t>
      </w:r>
      <w:r w:rsidR="00FD7429" w:rsidRPr="00EB5AF5">
        <w:rPr>
          <w:rFonts w:eastAsia="Calibri"/>
          <w:snapToGrid/>
          <w:szCs w:val="26"/>
          <w:lang w:eastAsia="en-US"/>
        </w:rPr>
        <w:t>15.10.2015</w:t>
      </w:r>
      <w:r w:rsidR="00532B4E" w:rsidRPr="00EB5AF5">
        <w:rPr>
          <w:rFonts w:eastAsia="Calibri"/>
          <w:snapToGrid/>
          <w:szCs w:val="26"/>
          <w:lang w:eastAsia="en-US"/>
        </w:rPr>
        <w:t xml:space="preserve"> № </w:t>
      </w:r>
      <w:r w:rsidR="00FD7429" w:rsidRPr="00EB5AF5">
        <w:rPr>
          <w:rFonts w:eastAsia="Calibri"/>
          <w:snapToGrid/>
          <w:szCs w:val="26"/>
          <w:lang w:eastAsia="en-US"/>
        </w:rPr>
        <w:t>13</w:t>
      </w:r>
      <w:r w:rsidR="00532B4E" w:rsidRPr="00EB5AF5">
        <w:rPr>
          <w:rFonts w:eastAsia="Calibri"/>
          <w:snapToGrid/>
          <w:szCs w:val="26"/>
          <w:lang w:eastAsia="en-US"/>
        </w:rPr>
        <w:t xml:space="preserve"> «</w:t>
      </w:r>
      <w:r w:rsidR="00532B4E" w:rsidRPr="00EB5AF5">
        <w:rPr>
          <w:rFonts w:eastAsia="Calibri"/>
          <w:szCs w:val="26"/>
        </w:rPr>
        <w:t>Об установлении налога на имущество физических лиц</w:t>
      </w:r>
      <w:r w:rsidR="0049214C" w:rsidRPr="00EB5AF5">
        <w:rPr>
          <w:rFonts w:eastAsia="Calibri"/>
          <w:szCs w:val="26"/>
        </w:rPr>
        <w:t>», от 08.02.2016 № 34 «</w:t>
      </w:r>
      <w:r w:rsidR="0049214C" w:rsidRPr="00EB5AF5">
        <w:rPr>
          <w:snapToGrid/>
          <w:szCs w:val="26"/>
        </w:rPr>
        <w:t xml:space="preserve">О внесении изменений в решение Совета депутатов Аршановского сельсовета от 15.10.2015 № 13 «Об установлении налога на имущество физических </w:t>
      </w:r>
      <w:r w:rsidR="00F82C11" w:rsidRPr="00EB5AF5">
        <w:rPr>
          <w:snapToGrid/>
          <w:szCs w:val="26"/>
        </w:rPr>
        <w:t>лиц»</w:t>
      </w:r>
      <w:r w:rsidR="00F82C11" w:rsidRPr="00EB5AF5">
        <w:rPr>
          <w:rFonts w:eastAsia="Calibri"/>
          <w:szCs w:val="26"/>
        </w:rPr>
        <w:t xml:space="preserve"> </w:t>
      </w:r>
      <w:r w:rsidR="00BC6E00">
        <w:rPr>
          <w:rFonts w:eastAsia="Calibri"/>
          <w:szCs w:val="26"/>
        </w:rPr>
        <w:t>признать</w:t>
      </w:r>
      <w:bookmarkStart w:id="0" w:name="_GoBack"/>
      <w:bookmarkEnd w:id="0"/>
      <w:r w:rsidR="0049214C" w:rsidRPr="00EB5AF5">
        <w:rPr>
          <w:rFonts w:eastAsia="Calibri"/>
          <w:szCs w:val="26"/>
        </w:rPr>
        <w:t xml:space="preserve"> утратившим</w:t>
      </w:r>
      <w:r w:rsidR="00F82C11" w:rsidRPr="00EB5AF5">
        <w:rPr>
          <w:rFonts w:eastAsia="Calibri"/>
          <w:szCs w:val="26"/>
        </w:rPr>
        <w:t>и</w:t>
      </w:r>
      <w:r w:rsidR="0049214C" w:rsidRPr="00EB5AF5">
        <w:rPr>
          <w:rFonts w:eastAsia="Calibri"/>
          <w:szCs w:val="26"/>
        </w:rPr>
        <w:t xml:space="preserve"> силу</w:t>
      </w:r>
      <w:r w:rsidR="00F82C11" w:rsidRPr="00EB5AF5">
        <w:rPr>
          <w:rFonts w:eastAsia="Calibri"/>
          <w:szCs w:val="26"/>
        </w:rPr>
        <w:t>.</w:t>
      </w:r>
      <w:r w:rsidR="0049214C" w:rsidRPr="00EB5AF5">
        <w:rPr>
          <w:rFonts w:eastAsia="Calibri"/>
          <w:szCs w:val="26"/>
        </w:rPr>
        <w:t xml:space="preserve"> </w:t>
      </w:r>
    </w:p>
    <w:p w:rsidR="00545858" w:rsidRPr="00EB5AF5" w:rsidRDefault="00532B4E" w:rsidP="00545858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 w:rsidRPr="00EB5AF5">
        <w:rPr>
          <w:rFonts w:eastAsia="Calibri"/>
          <w:bCs/>
          <w:snapToGrid/>
          <w:szCs w:val="26"/>
          <w:lang w:eastAsia="en-US"/>
        </w:rPr>
        <w:t>6</w:t>
      </w:r>
      <w:r w:rsidR="00545858" w:rsidRPr="00EB5AF5">
        <w:rPr>
          <w:rFonts w:eastAsia="Calibri"/>
          <w:bCs/>
          <w:snapToGrid/>
          <w:szCs w:val="26"/>
          <w:lang w:eastAsia="en-US"/>
        </w:rPr>
        <w:t xml:space="preserve">. </w:t>
      </w:r>
      <w:r w:rsidR="00EB5AF5" w:rsidRPr="00EB5AF5">
        <w:rPr>
          <w:szCs w:val="26"/>
          <w:shd w:val="clear" w:color="auto" w:fill="FFFFFF"/>
        </w:rPr>
        <w:t>Настоящее решение вступает в силу с 01.01.2020 г., но не ранее чем по истечении одного месяца со дня его официального обнародования</w:t>
      </w:r>
      <w:r w:rsidR="00545858" w:rsidRPr="00EB5AF5">
        <w:rPr>
          <w:snapToGrid/>
          <w:szCs w:val="26"/>
        </w:rPr>
        <w:t>.</w:t>
      </w:r>
    </w:p>
    <w:p w:rsidR="00545858" w:rsidRPr="00EB5AF5" w:rsidRDefault="00545858" w:rsidP="00545858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545858" w:rsidRPr="00EB5AF5" w:rsidRDefault="00545858" w:rsidP="00545858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545858" w:rsidRPr="00EB5AF5" w:rsidRDefault="00545858" w:rsidP="00545858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CB1AD6" w:rsidRPr="00EB5AF5" w:rsidRDefault="00CB1AD6" w:rsidP="00CB1AD6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CB1AD6" w:rsidRPr="00EB5AF5" w:rsidRDefault="00CB1AD6" w:rsidP="00CB1AD6">
      <w:pPr>
        <w:pStyle w:val="aa"/>
        <w:rPr>
          <w:rFonts w:ascii="Times New Roman" w:hAnsi="Times New Roman" w:cs="Times New Roman"/>
          <w:sz w:val="26"/>
          <w:szCs w:val="26"/>
        </w:rPr>
      </w:pPr>
      <w:r w:rsidRPr="00EB5AF5">
        <w:rPr>
          <w:rFonts w:ascii="Times New Roman" w:hAnsi="Times New Roman" w:cs="Times New Roman"/>
          <w:sz w:val="26"/>
          <w:szCs w:val="26"/>
        </w:rPr>
        <w:t>Глав</w:t>
      </w:r>
      <w:r w:rsidR="00EB5AF5" w:rsidRPr="00EB5AF5">
        <w:rPr>
          <w:rFonts w:ascii="Times New Roman" w:hAnsi="Times New Roman" w:cs="Times New Roman"/>
          <w:sz w:val="26"/>
          <w:szCs w:val="26"/>
        </w:rPr>
        <w:t>а</w:t>
      </w:r>
      <w:r w:rsidRPr="00EB5AF5">
        <w:rPr>
          <w:rFonts w:ascii="Times New Roman" w:hAnsi="Times New Roman" w:cs="Times New Roman"/>
          <w:sz w:val="26"/>
          <w:szCs w:val="26"/>
        </w:rPr>
        <w:t xml:space="preserve"> Аршановского сельсовета</w:t>
      </w:r>
      <w:r w:rsidRPr="00EB5AF5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</w:t>
      </w:r>
      <w:r w:rsidR="00EB5AF5" w:rsidRPr="00EB5AF5">
        <w:rPr>
          <w:rFonts w:ascii="Times New Roman" w:hAnsi="Times New Roman" w:cs="Times New Roman"/>
          <w:sz w:val="26"/>
          <w:szCs w:val="26"/>
        </w:rPr>
        <w:t>Н.А. Танбаев</w:t>
      </w:r>
    </w:p>
    <w:p w:rsidR="00CB1AD6" w:rsidRPr="00EB5AF5" w:rsidRDefault="00CB1AD6" w:rsidP="00CB1AD6">
      <w:pPr>
        <w:rPr>
          <w:szCs w:val="26"/>
        </w:rPr>
      </w:pPr>
    </w:p>
    <w:p w:rsidR="004121CA" w:rsidRPr="00EB5AF5" w:rsidRDefault="004121CA" w:rsidP="00CB1AD6">
      <w:pPr>
        <w:tabs>
          <w:tab w:val="left" w:pos="3451"/>
          <w:tab w:val="right" w:pos="10350"/>
        </w:tabs>
        <w:autoSpaceDE w:val="0"/>
        <w:autoSpaceDN w:val="0"/>
        <w:adjustRightInd w:val="0"/>
        <w:rPr>
          <w:szCs w:val="26"/>
        </w:rPr>
      </w:pPr>
    </w:p>
    <w:sectPr w:rsidR="004121CA" w:rsidRPr="00EB5AF5" w:rsidSect="000661AE">
      <w:headerReference w:type="even" r:id="rId7"/>
      <w:pgSz w:w="11906" w:h="16838" w:code="9"/>
      <w:pgMar w:top="851" w:right="849" w:bottom="851" w:left="1418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22" w:rsidRDefault="00611A22" w:rsidP="00577B80">
      <w:r>
        <w:separator/>
      </w:r>
    </w:p>
  </w:endnote>
  <w:endnote w:type="continuationSeparator" w:id="0">
    <w:p w:rsidR="00611A22" w:rsidRDefault="00611A22" w:rsidP="0057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22" w:rsidRDefault="00611A22" w:rsidP="00577B80">
      <w:r>
        <w:separator/>
      </w:r>
    </w:p>
  </w:footnote>
  <w:footnote w:type="continuationSeparator" w:id="0">
    <w:p w:rsidR="00611A22" w:rsidRDefault="00611A22" w:rsidP="0057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8E" w:rsidRDefault="00A1440A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7F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7F14">
      <w:rPr>
        <w:rStyle w:val="a5"/>
        <w:noProof/>
      </w:rPr>
      <w:t>8</w:t>
    </w:r>
    <w:r>
      <w:rPr>
        <w:rStyle w:val="a5"/>
      </w:rPr>
      <w:fldChar w:fldCharType="end"/>
    </w:r>
  </w:p>
  <w:p w:rsidR="00AF5F8E" w:rsidRDefault="00611A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58"/>
    <w:rsid w:val="000661AE"/>
    <w:rsid w:val="0007468D"/>
    <w:rsid w:val="000A2C08"/>
    <w:rsid w:val="001536FF"/>
    <w:rsid w:val="00193588"/>
    <w:rsid w:val="001F1372"/>
    <w:rsid w:val="0026155D"/>
    <w:rsid w:val="002B394B"/>
    <w:rsid w:val="002F1AC0"/>
    <w:rsid w:val="002F5189"/>
    <w:rsid w:val="003457CB"/>
    <w:rsid w:val="003940AB"/>
    <w:rsid w:val="003B407D"/>
    <w:rsid w:val="003E18B9"/>
    <w:rsid w:val="004015A9"/>
    <w:rsid w:val="004029AB"/>
    <w:rsid w:val="00405F65"/>
    <w:rsid w:val="004121CA"/>
    <w:rsid w:val="0043656B"/>
    <w:rsid w:val="00437288"/>
    <w:rsid w:val="0049214C"/>
    <w:rsid w:val="004974E2"/>
    <w:rsid w:val="004B14DC"/>
    <w:rsid w:val="005272D3"/>
    <w:rsid w:val="00532B4E"/>
    <w:rsid w:val="00545858"/>
    <w:rsid w:val="00552006"/>
    <w:rsid w:val="00571012"/>
    <w:rsid w:val="00577B80"/>
    <w:rsid w:val="005E336C"/>
    <w:rsid w:val="00611A22"/>
    <w:rsid w:val="00626A1A"/>
    <w:rsid w:val="0064504F"/>
    <w:rsid w:val="006661B6"/>
    <w:rsid w:val="00713261"/>
    <w:rsid w:val="00731C92"/>
    <w:rsid w:val="00831F85"/>
    <w:rsid w:val="00854AA2"/>
    <w:rsid w:val="008706E7"/>
    <w:rsid w:val="008C39D8"/>
    <w:rsid w:val="0090141E"/>
    <w:rsid w:val="009267A3"/>
    <w:rsid w:val="00961848"/>
    <w:rsid w:val="00973078"/>
    <w:rsid w:val="009A044A"/>
    <w:rsid w:val="009D748A"/>
    <w:rsid w:val="009D7C1B"/>
    <w:rsid w:val="009F504F"/>
    <w:rsid w:val="00A14233"/>
    <w:rsid w:val="00A1440A"/>
    <w:rsid w:val="00A7475B"/>
    <w:rsid w:val="00A91009"/>
    <w:rsid w:val="00AC33B4"/>
    <w:rsid w:val="00B07F14"/>
    <w:rsid w:val="00B35778"/>
    <w:rsid w:val="00BC6E00"/>
    <w:rsid w:val="00BD196E"/>
    <w:rsid w:val="00CB1AD6"/>
    <w:rsid w:val="00CC7390"/>
    <w:rsid w:val="00D40BF2"/>
    <w:rsid w:val="00D413D5"/>
    <w:rsid w:val="00D86624"/>
    <w:rsid w:val="00E30D79"/>
    <w:rsid w:val="00E80C04"/>
    <w:rsid w:val="00EB071D"/>
    <w:rsid w:val="00EB4B43"/>
    <w:rsid w:val="00EB5AF5"/>
    <w:rsid w:val="00F17203"/>
    <w:rsid w:val="00F804B1"/>
    <w:rsid w:val="00F82C11"/>
    <w:rsid w:val="00FA4055"/>
    <w:rsid w:val="00FD7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1682"/>
  <w15:docId w15:val="{18DF6A89-0D56-4445-A6BC-857F6F4F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85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5858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5458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545858"/>
  </w:style>
  <w:style w:type="paragraph" w:customStyle="1" w:styleId="ConsPlusNormal">
    <w:name w:val="ConsPlusNormal"/>
    <w:rsid w:val="002B3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3457CB"/>
    <w:pPr>
      <w:jc w:val="center"/>
    </w:pPr>
    <w:rPr>
      <w:rFonts w:ascii="QuantAntiquaC" w:hAnsi="QuantAntiquaC"/>
      <w:b/>
      <w:snapToGrid/>
      <w:sz w:val="24"/>
    </w:rPr>
  </w:style>
  <w:style w:type="character" w:customStyle="1" w:styleId="a7">
    <w:name w:val="Заголовок Знак"/>
    <w:basedOn w:val="a0"/>
    <w:link w:val="a6"/>
    <w:rsid w:val="003457CB"/>
    <w:rPr>
      <w:rFonts w:ascii="QuantAntiquaC" w:eastAsia="Times New Roman" w:hAnsi="QuantAntiquaC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7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7CB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No Spacing"/>
    <w:uiPriority w:val="1"/>
    <w:qFormat/>
    <w:rsid w:val="00CB1A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357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3577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d">
    <w:name w:val="List Paragraph"/>
    <w:basedOn w:val="a"/>
    <w:uiPriority w:val="34"/>
    <w:qFormat/>
    <w:rsid w:val="00FD7429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FD7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mf3</dc:creator>
  <cp:lastModifiedBy>Пользователь Windows</cp:lastModifiedBy>
  <cp:revision>44</cp:revision>
  <cp:lastPrinted>2019-11-05T06:45:00Z</cp:lastPrinted>
  <dcterms:created xsi:type="dcterms:W3CDTF">2015-10-05T04:51:00Z</dcterms:created>
  <dcterms:modified xsi:type="dcterms:W3CDTF">2019-11-05T08:11:00Z</dcterms:modified>
</cp:coreProperties>
</file>